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Cn" w:hAnsi="FrutigerLTStd-Cn" w:cs="FrutigerLTStd-Cn"/>
          <w:color w:val="EB0706"/>
          <w:kern w:val="0"/>
          <w:sz w:val="32"/>
          <w:szCs w:val="32"/>
        </w:rPr>
      </w:pPr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>PRO NATUR</w:t>
      </w:r>
      <w:r>
        <w:rPr>
          <w:rFonts w:ascii="FrutigerLTStd-Cn" w:hAnsi="FrutigerLTStd-Cn" w:cs="FrutigerLTStd-Cn"/>
          <w:color w:val="EB0706"/>
          <w:kern w:val="0"/>
          <w:sz w:val="19"/>
          <w:szCs w:val="19"/>
        </w:rPr>
        <w:t xml:space="preserve">® </w:t>
      </w:r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>BIO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Cn" w:hAnsi="FrutigerLTStd-Cn" w:cs="FrutigerLTStd-Cn"/>
          <w:color w:val="EB0706"/>
          <w:kern w:val="0"/>
          <w:sz w:val="32"/>
          <w:szCs w:val="32"/>
        </w:rPr>
      </w:pPr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>Obst- und Gemüsedünger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Pro-ExtraBlackCn" w:hAnsi="FrutigerLTPro-ExtraBlackCn" w:cs="FrutigerLTPro-ExtraBlackCn"/>
          <w:kern w:val="0"/>
          <w:sz w:val="16"/>
          <w:szCs w:val="16"/>
        </w:rPr>
      </w:pPr>
      <w:r>
        <w:rPr>
          <w:rFonts w:ascii="FrutigerLTStd-Cn" w:hAnsi="FrutigerLTStd-Cn" w:cs="FrutigerLTStd-Cn"/>
          <w:color w:val="000000"/>
          <w:kern w:val="0"/>
          <w:sz w:val="20"/>
          <w:szCs w:val="20"/>
        </w:rPr>
        <w:t>Organisch-mineralischer Stickstoffdünger 2,5 % N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Pro-ExtraBlackCn" w:hAnsi="FrutigerLTPro-ExtraBlackCn" w:cs="FrutigerLTPro-ExtraBlackCn"/>
          <w:kern w:val="0"/>
          <w:sz w:val="16"/>
          <w:szCs w:val="16"/>
        </w:rPr>
      </w:pP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Pro Natur</w:t>
      </w:r>
      <w:r>
        <w:rPr>
          <w:rFonts w:ascii="FrutigerLTStd-LightCn" w:hAnsi="FrutigerLTStd-LightCn" w:cs="FrutigerLTStd-LightCn"/>
          <w:kern w:val="0"/>
          <w:sz w:val="9"/>
          <w:szCs w:val="9"/>
        </w:rPr>
        <w:t xml:space="preserve">®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Obst- und Gemüsedünger in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Bio-Qualität.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Mit Wasserspeicher-Funktion.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Zur Aufwertung bestehender Böden und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Neuanlagen.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Pflanzenkohle sorgt für optimierte Nährstoffverfügbarkeit: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weniger Auswaschung durch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Niederschlag, die Nährstoffe sind im Wurzelbereich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der Pflanzen länger verfügbar.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Mit Pflanzenkohle und pflanzlichem Stickstoff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aus der Lebensmittelherstellung.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Verbessert nachhaltig die Nährstoffbilanz im</w:t>
      </w:r>
    </w:p>
    <w:p w:rsidR="00C50352" w:rsidRDefault="00C50352" w:rsidP="00C50352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Boden – für eine reichhaltige Ernte.</w:t>
      </w:r>
    </w:p>
    <w:p w:rsidR="00C50352" w:rsidRDefault="00C50352" w:rsidP="00C50352"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100 % natürliche Rohstoffe und vegan.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LTStd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Pro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2"/>
    <w:rsid w:val="004B5297"/>
    <w:rsid w:val="004D2EC4"/>
    <w:rsid w:val="00645A0E"/>
    <w:rsid w:val="007E483F"/>
    <w:rsid w:val="008569C1"/>
    <w:rsid w:val="00AA01FB"/>
    <w:rsid w:val="00C50352"/>
    <w:rsid w:val="00F0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EFA6"/>
  <w15:chartTrackingRefBased/>
  <w15:docId w15:val="{1D6C862F-8CA9-44D9-A262-6C824CDF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516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1</cp:revision>
  <dcterms:created xsi:type="dcterms:W3CDTF">2023-12-13T08:09:00Z</dcterms:created>
  <dcterms:modified xsi:type="dcterms:W3CDTF">2023-12-13T08:10:00Z</dcterms:modified>
</cp:coreProperties>
</file>