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>Kakteene</w:t>
      </w: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 xml:space="preserve">rde </w:t>
      </w:r>
    </w:p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  <w:r>
        <w:rPr>
          <w:rFonts w:ascii="Myriad Pro" w:hAnsi="Myriad Pro"/>
          <w:color w:val="000000"/>
          <w:sz w:val="28"/>
          <w:szCs w:val="28"/>
          <w:u w:color="000000"/>
          <w:rtl w:val="0"/>
          <w:lang w:val="de-DE"/>
        </w:rPr>
        <w:t>Kultursubstrat</w:t>
      </w:r>
    </w:p>
    <w:p>
      <w:pPr>
        <w:pStyle w:val="Normal.0"/>
        <w:spacing w:after="0" w:line="241" w:lineRule="atLeast"/>
        <w:rPr>
          <w:rFonts w:ascii="Myriad Pro" w:cs="Myriad Pro" w:hAnsi="Myriad Pro" w:eastAsia="Myriad Pro"/>
          <w:color w:val="000000"/>
          <w:sz w:val="28"/>
          <w:szCs w:val="28"/>
          <w:u w:color="000000"/>
        </w:rPr>
      </w:pP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Hochwertige Rohstoffe und der Zusatz von speziellem Quarzsand sorgen 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 xml:space="preserve">r eine besonders lockere Struktur. </w:t>
      </w:r>
    </w:p>
    <w:p>
      <w:pPr>
        <w:pStyle w:val="Normal.0"/>
        <w:spacing w:after="54" w:line="240" w:lineRule="auto"/>
        <w:rPr>
          <w:rFonts w:ascii="Myriad Pro" w:cs="Myriad Pro" w:hAnsi="Myriad Pro" w:eastAsia="Myriad Pro"/>
          <w:color w:val="000000"/>
          <w:sz w:val="15"/>
          <w:szCs w:val="15"/>
          <w:u w:color="000000"/>
        </w:rPr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Die hohe Stabilit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t der Spezialerde verhindert ein Verklumpen und gew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hrleistet eine optimale Luft- und Wasserf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hrung 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r eine gesunde Pflanzenentwicklung. Auftretender Staun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sse und Wurzelf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ule wird dadurch vorgebeugt.</w:t>
      </w:r>
    </w:p>
    <w:p>
      <w:pPr>
        <w:pStyle w:val="Normal.0"/>
        <w:spacing w:after="0" w:line="240" w:lineRule="auto"/>
      </w:pP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Speziell abgestimmte hochwertige Profi-D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nger mit allen wichtigen Haupt- und Spurenn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hrstoffen versorgen die Pflanzen f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r ca. 8 Wochen ohne zus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ä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tzliche Nachd</w:t>
      </w:r>
      <w:r>
        <w:rPr>
          <w:rFonts w:ascii="Myriad Pro" w:hAnsi="Myriad Pro" w:hint="default"/>
          <w:color w:val="000000"/>
          <w:sz w:val="15"/>
          <w:szCs w:val="15"/>
          <w:u w:color="000000"/>
          <w:rtl w:val="0"/>
          <w:lang w:val="de-DE"/>
        </w:rPr>
        <w:t>ü</w:t>
      </w:r>
      <w:r>
        <w:rPr>
          <w:rFonts w:ascii="Myriad Pro" w:hAnsi="Myriad Pro"/>
          <w:color w:val="000000"/>
          <w:sz w:val="15"/>
          <w:szCs w:val="15"/>
          <w:u w:color="000000"/>
          <w:rtl w:val="0"/>
          <w:lang w:val="de-DE"/>
        </w:rPr>
        <w:t>ngung.</w:t>
      </w:r>
    </w:p>
    <w:sectPr>
      <w:headerReference w:type="default" r:id="rId4"/>
      <w:footerReference w:type="default" r:id="rId5"/>
      <w:pgSz w:w="11900" w:h="17340" w:orient="portrait"/>
      <w:pgMar w:top="1400" w:right="900" w:bottom="0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